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山东第一医科大学（山东省医学科学院）科教融合医学技术技能教学提升设备购置（二）竞争性磋商文件（</w:t>
      </w:r>
      <w:r>
        <w:rPr>
          <w:rFonts w:hint="eastAsia" w:ascii="仿宋" w:hAnsi="仿宋" w:cs="仿宋"/>
          <w:b/>
          <w:bCs/>
          <w:sz w:val="44"/>
          <w:szCs w:val="44"/>
          <w:lang w:val="en-US" w:eastAsia="zh-CN"/>
        </w:rPr>
        <w:t>324</w:t>
      </w:r>
      <w:r>
        <w:rPr>
          <w:rFonts w:hint="eastAsia" w:ascii="仿宋" w:hAnsi="仿宋" w:cs="仿宋"/>
          <w:b/>
          <w:bCs/>
          <w:sz w:val="44"/>
          <w:szCs w:val="44"/>
          <w:lang w:eastAsia="zh-CN"/>
        </w:rPr>
        <w:t>）</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SDGP370000000202302009532</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/sdhryw2023324</w:t>
      </w:r>
    </w:p>
    <w:p>
      <w:pPr>
        <w:pStyle w:val="10"/>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val="en-US" w:eastAsia="zh-CN"/>
        </w:rPr>
        <w:t>十一</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山东第一医科大学（山东省医学科学院）科教融合医学技术技能教学提升设备购置（二）</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山东第一医科大学（山东省医学科学院）科教融合医学技术技能教学提升设备购置（二）</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SDGP370000000202302009532/sdhryw2023324</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山东第一医科大学（山东省医学科学院）科教融合医学技术技能教学提升设备购置（二）</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56</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ascii="Times New Roman" w:hAnsi="Times New Roman"/>
          <w:lang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tbl>
      <w:tblPr>
        <w:tblStyle w:val="21"/>
        <w:tblpPr w:leftFromText="180" w:rightFromText="180" w:vertAnchor="text" w:horzAnchor="page" w:tblpXSpec="center" w:tblpY="254"/>
        <w:tblOverlap w:val="never"/>
        <w:tblW w:w="56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1494"/>
        <w:gridCol w:w="1309"/>
        <w:gridCol w:w="1447"/>
        <w:gridCol w:w="5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1"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687"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60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666"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2690"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46" w:hRule="atLeast"/>
          <w:jc w:val="center"/>
        </w:trPr>
        <w:tc>
          <w:tcPr>
            <w:tcW w:w="35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687"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全功能模拟人等货物</w:t>
            </w:r>
          </w:p>
        </w:tc>
        <w:tc>
          <w:tcPr>
            <w:tcW w:w="603"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详见参数</w:t>
            </w:r>
          </w:p>
        </w:tc>
        <w:tc>
          <w:tcPr>
            <w:tcW w:w="666"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56</w:t>
            </w:r>
          </w:p>
        </w:tc>
        <w:tc>
          <w:tcPr>
            <w:tcW w:w="2690"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color w:val="auto"/>
                <w:sz w:val="24"/>
                <w:szCs w:val="24"/>
                <w:highlight w:val="none"/>
                <w:lang w:val="en-US" w:eastAsia="zh-CN"/>
              </w:rPr>
              <w:t>3、</w:t>
            </w:r>
            <w:r>
              <w:rPr>
                <w:rFonts w:hint="eastAsia" w:ascii="仿宋" w:hAnsi="仿宋" w:eastAsia="仿宋" w:cs="仿宋"/>
                <w:color w:val="auto"/>
                <w:sz w:val="24"/>
                <w:szCs w:val="24"/>
                <w:highlight w:val="none"/>
              </w:rPr>
              <w:t>本项目不接受联合体投标。</w:t>
            </w:r>
          </w:p>
        </w:tc>
      </w:tr>
    </w:tbl>
    <w:p>
      <w:pPr>
        <w:pStyle w:val="30"/>
        <w:spacing w:line="360" w:lineRule="auto"/>
        <w:ind w:left="0" w:leftChars="0" w:firstLine="241" w:firstLineChars="100"/>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hint="eastAsia" w:ascii="仿宋" w:hAnsi="仿宋" w:cs="仿宋"/>
          <w:color w:val="auto"/>
          <w:sz w:val="24"/>
          <w:szCs w:val="24"/>
          <w:highlight w:val="none"/>
          <w:lang w:val="en-US" w:eastAsia="zh-CN"/>
        </w:rPr>
        <w:t>、</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11</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17</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325</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21</w:t>
      </w:r>
      <w:r>
        <w:rPr>
          <w:rFonts w:ascii="Times New Roman" w:hAnsi="Times New Roman"/>
        </w:rPr>
        <w:t>日08</w:t>
      </w:r>
      <w:r>
        <w:rPr>
          <w:rFonts w:hint="eastAsia" w:ascii="Times New Roman" w:hAnsi="Times New Roman"/>
        </w:rPr>
        <w:t>:</w:t>
      </w:r>
      <w:r>
        <w:rPr>
          <w:rFonts w:ascii="Times New Roman" w:hAnsi="Times New Roman"/>
        </w:rPr>
        <w:t>30-9:00（北京时间）。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21</w:t>
      </w:r>
      <w:r>
        <w:rPr>
          <w:rFonts w:ascii="Times New Roman" w:hAnsi="Times New Roman"/>
        </w:rPr>
        <w:t>日09:00（北京时间），逾期递交的响应文件不予接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w:t>
      </w:r>
      <w:r>
        <w:rPr>
          <w:rFonts w:hint="eastAsia" w:ascii="Times New Roman" w:hAnsi="Times New Roman"/>
          <w:lang w:val="en-US" w:eastAsia="zh-CN"/>
        </w:rPr>
        <w:t>301</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eastAsia" w:ascii="Times New Roman" w:hAnsi="Times New Roman" w:eastAsia="仿宋"/>
          <w:lang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ind w:left="0" w:leftChars="0" w:firstLine="0" w:firstLineChars="0"/>
        <w:jc w:val="center"/>
        <w:rPr>
          <w:rFonts w:ascii="Times New Roman" w:hAnsi="Times New Roman"/>
          <w:b/>
          <w:sz w:val="32"/>
          <w:szCs w:val="32"/>
        </w:rPr>
      </w:pPr>
      <w:bookmarkStart w:id="1" w:name="_Toc81467278"/>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hint="eastAsia" w:ascii="仿宋" w:hAnsi="仿宋" w:cs="仿宋"/>
                <w:color w:val="auto"/>
                <w:sz w:val="24"/>
                <w:szCs w:val="24"/>
                <w:highlight w:val="none"/>
                <w:lang w:val="en-US" w:eastAsia="zh-CN"/>
              </w:rPr>
              <w:t>无</w:t>
            </w:r>
            <w:bookmarkStart w:id="7" w:name="_GoBack"/>
            <w:bookmarkEnd w:id="7"/>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r>
              <w:rPr>
                <w:rFonts w:hint="eastAsia" w:ascii="Times New Roman" w:hAnsi="Times New Roman"/>
              </w:rPr>
              <w:t>37000000014006520230427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ascii="Times New Roman" w:hAnsi="Times New Roman"/>
              </w:rPr>
            </w:pPr>
            <w:r>
              <w:rPr>
                <w:rFonts w:hint="eastAsia" w:ascii="仿宋" w:hAnsi="仿宋" w:cs="仿宋"/>
                <w:sz w:val="24"/>
                <w:szCs w:val="24"/>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hint="eastAsia" w:ascii="Times New Roman" w:hAnsi="Times New Roman"/>
                <w:kern w:val="0"/>
                <w:szCs w:val="24"/>
                <w:lang w:val="en-US" w:eastAsia="zh-CN"/>
              </w:rPr>
              <w:t>2年</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hint="eastAsia" w:ascii="Times New Roman" w:hAnsi="Times New Roman"/>
              </w:rPr>
            </w:pPr>
            <w:r>
              <w:rPr>
                <w:rFonts w:hint="eastAsia" w:ascii="Times New Roman" w:hAnsi="Times New Roman"/>
              </w:rPr>
              <w:t>合同签订后30天。</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hint="eastAsia" w:ascii="Times New Roman" w:hAnsi="Times New Roman"/>
                <w:szCs w:val="24"/>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r>
              <w:rPr>
                <w:rFonts w:hint="eastAsia" w:ascii="Times New Roman" w:hAnsi="Times New Roman"/>
                <w:szCs w:val="24"/>
              </w:rPr>
              <w:t>。</w:t>
            </w:r>
          </w:p>
          <w:p>
            <w:pPr>
              <w:adjustRightInd w:val="0"/>
              <w:snapToGrid w:val="0"/>
              <w:spacing w:line="360" w:lineRule="auto"/>
              <w:ind w:firstLine="0" w:firstLineChars="0"/>
              <w:rPr>
                <w:rFonts w:hint="eastAsia" w:ascii="Times New Roman" w:hAnsi="Times New Roman" w:eastAsia="仿宋"/>
                <w:szCs w:val="24"/>
                <w:lang w:eastAsia="zh-CN"/>
              </w:rPr>
            </w:pPr>
            <w:r>
              <w:rPr>
                <w:rFonts w:hint="eastAsia" w:ascii="仿宋" w:hAnsi="仿宋" w:cs="仿宋"/>
              </w:rPr>
              <w:t>履约保证金在验收合格后满一年届满，没有任何质量问题，由中标人向采购人提交申请，采购人根据履约情况无息退还给中标人。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21</w:t>
            </w:r>
            <w:r>
              <w:rPr>
                <w:rFonts w:ascii="Times New Roman" w:hAnsi="Times New Roman"/>
                <w:szCs w:val="24"/>
              </w:rPr>
              <w:t>日08:30-09:00（北京时间）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21</w:t>
            </w:r>
            <w:r>
              <w:rPr>
                <w:rFonts w:ascii="Times New Roman" w:hAnsi="Times New Roman"/>
                <w:szCs w:val="24"/>
              </w:rPr>
              <w:t>日09:00（北京时间）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仿宋" w:hAnsi="仿宋" w:cs="仿宋"/>
                <w:szCs w:val="24"/>
              </w:rPr>
              <w:t>中标人按中标金额1‰向公证机关/见证律师交纳公证费/见证律师费，(不足500元，按500元收取,上限1000元/每包）。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2" w:name="_Toc81467279"/>
      <w:r>
        <w:rPr>
          <w:rFonts w:hint="eastAsia" w:ascii="Times New Roman" w:hAnsi="Times New Roman"/>
          <w:b/>
          <w:sz w:val="32"/>
          <w:szCs w:val="32"/>
        </w:rPr>
        <w:br w:type="page"/>
      </w:r>
    </w:p>
    <w:p>
      <w:pPr>
        <w:widowControl/>
        <w:spacing w:line="360" w:lineRule="auto"/>
        <w:ind w:firstLine="0" w:firstLineChars="0"/>
        <w:jc w:val="center"/>
        <w:rPr>
          <w:rFonts w:ascii="Times New Roman" w:hAnsi="Times New Roman"/>
          <w:b/>
          <w:sz w:val="32"/>
          <w:szCs w:val="32"/>
        </w:rPr>
      </w:pPr>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w:t>
            </w:r>
            <w:r>
              <w:rPr>
                <w:rFonts w:hint="eastAsia" w:ascii="仿宋" w:hAnsi="仿宋" w:eastAsia="仿宋" w:cs="仿宋"/>
                <w:bCs/>
                <w:szCs w:val="24"/>
              </w:rPr>
              <w:t>文件要求且</w:t>
            </w:r>
            <w:r>
              <w:rPr>
                <w:rFonts w:hint="eastAsia" w:ascii="仿宋" w:hAnsi="仿宋" w:cs="仿宋"/>
                <w:bCs/>
                <w:szCs w:val="24"/>
                <w:lang w:eastAsia="zh-CN"/>
              </w:rPr>
              <w:t>最终报价</w:t>
            </w:r>
            <w:r>
              <w:rPr>
                <w:rFonts w:hint="eastAsia" w:ascii="仿宋" w:hAnsi="仿宋" w:eastAsia="仿宋" w:cs="仿宋"/>
                <w:bCs/>
                <w:szCs w:val="24"/>
              </w:rPr>
              <w:t>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62</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36</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根据招标文件的技术要求，对照投标文件和技术支持资料的技术参数进行比较，能够实质性响应招标文件要求的得基本分</w:t>
            </w:r>
            <w:r>
              <w:rPr>
                <w:rFonts w:hint="eastAsia" w:ascii="仿宋" w:hAnsi="仿宋" w:cs="仿宋"/>
                <w:lang w:val="en-US" w:eastAsia="zh-CN"/>
              </w:rPr>
              <w:t>36</w:t>
            </w:r>
            <w:r>
              <w:rPr>
                <w:rFonts w:hint="eastAsia" w:ascii="仿宋" w:hAnsi="仿宋" w:eastAsia="仿宋" w:cs="仿宋"/>
              </w:rPr>
              <w:t>分，普通条款一项偏离扣2分，经评标委员会集体认定供应商复制粘贴招标文件制作技术响应表该项得0分。</w:t>
            </w:r>
            <w:r>
              <w:rPr>
                <w:rFonts w:hint="eastAsia" w:ascii="仿宋" w:hAnsi="仿宋" w:eastAsia="仿宋" w:cs="仿宋"/>
                <w:b/>
                <w:bCs/>
                <w:color w:val="000000"/>
                <w:kern w:val="0"/>
                <w:szCs w:val="24"/>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9"/>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default" w:ascii="仿宋" w:hAnsi="仿宋" w:eastAsia="仿宋" w:cs="仿宋"/>
                <w:bCs/>
                <w:color w:val="auto"/>
                <w:sz w:val="24"/>
                <w:lang w:val="en-US" w:eastAsia="zh-CN"/>
              </w:rPr>
            </w:pPr>
            <w:r>
              <w:rPr>
                <w:rFonts w:hint="eastAsia" w:ascii="仿宋" w:hAnsi="仿宋" w:cs="仿宋"/>
                <w:bCs/>
                <w:color w:val="auto"/>
                <w:sz w:val="24"/>
                <w:lang w:val="en-US" w:eastAsia="zh-CN"/>
              </w:rPr>
              <w:t>样品10分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default" w:ascii="仿宋" w:hAnsi="仿宋" w:eastAsia="仿宋" w:cs="仿宋"/>
                <w:bCs/>
                <w:color w:val="auto"/>
                <w:sz w:val="24"/>
                <w:lang w:val="en-US" w:eastAsia="zh-CN"/>
              </w:rPr>
            </w:pPr>
            <w:r>
              <w:rPr>
                <w:rFonts w:hint="eastAsia" w:ascii="仿宋" w:hAnsi="仿宋" w:cs="仿宋"/>
                <w:bCs/>
                <w:color w:val="auto"/>
                <w:sz w:val="24"/>
                <w:lang w:eastAsia="zh-CN"/>
              </w:rPr>
              <w:t>根据供应商所提供的样品，磋商小组对样品的材质、外观、质量、性能等进行综合评审，满分</w:t>
            </w:r>
            <w:r>
              <w:rPr>
                <w:rFonts w:hint="eastAsia" w:ascii="仿宋" w:hAnsi="仿宋" w:cs="仿宋"/>
                <w:bCs/>
                <w:color w:val="auto"/>
                <w:sz w:val="24"/>
                <w:lang w:val="en-US" w:eastAsia="zh-CN"/>
              </w:rPr>
              <w:t>10分，有一项不符合要求的扣2.5分，扣完为止。提供样品不全者样品分不得分。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25"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eastAsia="zh-CN"/>
              </w:rPr>
            </w:pPr>
            <w:r>
              <w:rPr>
                <w:rFonts w:hint="eastAsia" w:ascii="仿宋" w:hAnsi="仿宋" w:eastAsia="仿宋" w:cs="仿宋"/>
                <w:bCs/>
                <w:szCs w:val="24"/>
                <w:lang w:eastAsia="zh-CN"/>
              </w:rPr>
              <w:t>质保期</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hint="eastAsia"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bookmarkStart w:id="6" w:name="_Toc81467283"/>
    </w:p>
    <w:p>
      <w:pPr>
        <w:pStyle w:val="2"/>
        <w:bidi w:val="0"/>
        <w:jc w:val="center"/>
        <w:rPr>
          <w:sz w:val="30"/>
          <w:szCs w:val="30"/>
        </w:rPr>
      </w:pPr>
      <w:r>
        <w:rPr>
          <w:rFonts w:hint="eastAsia"/>
          <w:sz w:val="30"/>
          <w:szCs w:val="30"/>
        </w:rPr>
        <w:t>第八部分  技术要求及说明</w:t>
      </w:r>
      <w:bookmarkEnd w:id="6"/>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15"/>
        <w:gridCol w:w="771"/>
        <w:gridCol w:w="897"/>
        <w:gridCol w:w="7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4"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both"/>
              <w:textAlignment w:val="top"/>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序号</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项目</w:t>
            </w:r>
          </w:p>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3841"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全功能模拟人</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成年男性整体人，体表解剖标志明显，可见肋弓、胸骨、髂前上棘、耻骨联合等。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胸部富有弹性，外皮可打开，可观察到真实的胸部器官：心脏、肺脏、肝脏、胃等。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3.可进行瞳孔示教：一侧瞳孔散大、一侧瞳孔正常。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可行鼻饲、洗胃：可抽出模拟胃液，可行经口鼻洗胃法、电动吸引洗胃法、洗胃机洗胃法等。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可进行吸氧术训练及考核。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可行外耳道冲洗训练及考核。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可行三腔二囊管压迫止血术练习，胃内出血速度可调节，止血是否成功可判定，出血量可准确计量。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腹部皮肤触感真实，柔软有弹性，可进行手术区消毒、铺巾等操作。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可进行腹腔穿刺，穿刺点位于：脐与左髂前上棘连线外1/3处、脐与耻骨联合中点外1-2厘米位置进行穿刺，穿刺有突破感，穿刺成功后可抽出模拟腹腔积液，腹腔穿刺囊可更换。可进行模块设定，考生通过腹部体格检查，以判定常见穿刺部位是否可以进行腹腔穿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骨髓穿刺：临床常见的双侧髂前上棘、双侧髂后上棘均可进行骨髓穿刺，正确穿刺进针落空感明显，可抽出模拟骨髓。骨髓穿刺囊可更换。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右上肢有一开放性伤口，有真实的模拟血液流出，出血速度可调节，也可以连接创伤模块，进行开放性伤口止血包扎。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可进行手臂肌内注射。</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可进行搬运、夹板固定、绷带固定等。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可行男女导尿操作。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 配有化妆假发，可通过对模拟人的不同装扮，设置不同的病例场景进行考核。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配有便携箱用于放置配件。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 主要配件：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（1）模拟出血调节装置2套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（2）三腔二囊管1根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（3）骨髓穿刺囊3套（装1配2）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（4）腹腔穿刺囊4套（每套3个囊）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（5）腹腔穿刺模拟穿刺囊（硬）1套（3个，为实心囊，用于模拟腹部肿块进行触诊）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（6）腹腔穿刺皮肤1套（2块，分别带男性外生殖器和女性外生殖器)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（7）创伤模块4件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（8）输液袋2个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电子男性导尿模型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1.模型仿真人大小，常规导尿操作体位。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2.男性阴茎形象逼真、手感真实，具有真实的三个狭窄两个弯曲。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3.电子监测系统：当导尿管到达尿道内口及膀胱时，分别有相应的指示灯、声音进行提示。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4.导尿术：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操作时与真实环境一样会遇到阻力，如果操作手法不正确，插管将会很困难。当导尿管通过尿道进入膀胱时，会有模拟尿液流出。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5.可进行留置导尿的示教、练习。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6.可反复进行练习。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7.膀胱冲洗。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电子女性导尿模型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1.模型仿真人大小，常规导尿操作体位。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2.女性外阴部形象逼真，只有分开小阴唇才可显露尿道口和阴蒂，尿道粗、短、直，约3-5cm。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3.电子监测系统：当导尿管到达尿道内口及膀胱时，分别有相应的指示灯、声音进行提示。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4.导尿术：操作时与真实环境一样会遇到阻力，如果操作手法不正确，插管将会很困难。当导尿管通过尿道进入膀胱时，会有模拟尿液流出。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5.可进行留置导尿的示教、练习。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6.可反复进行练习。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7.膀胱冲洗。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婴儿生长发育测量仪</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1.液晶显示，可测量身高体重，最大测量重量20kg,显示分度值5g，身高范围10-100cm。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术前无菌操作训练模型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1.本模型专为练习术前无菌操作技术而设计。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2.模型为整体成年人，关节灵活，解剖结构完整。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3.可行手术区的准备练习：手术区域皮肤消毒、铺无菌布单。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4.可练习全身各处手术切口的术前无菌操作：头、颈、胸、腹、背、肢体近端、远端、手（足）部等。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5.可进行各部位包扎、伤口清洗、换药等练习。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6.可练习眼部护理，如冲洗，滴药水等。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7.可行肌肉注射练习。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阴道后穹隆穿刺模型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1、模型由外皮、固定腹腔脏器、子宫、子宫直肠凹血囊、阴道、直肠水囊、支架组成。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2、外皮套在整个模型的外部，固定腹腔脏器的装置用于将各功能脏器固定在它们各自的位置上。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3、子宫直肠陷凹水囊、直肠水囊、子宫、阴道四个部分镶嵌在固定腹腔脏器装置内。</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4、支架用于托起整个模型，保持模型臀部抬高。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5、子宫直肠陷凹血囊，直肠水囊是一个囊性结构，其上连接了两根引流管，用于往内注入液体。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6、模型采用优质材料制成，解剖位置准确，皮肤柔软有弹性，手感逼真，病变组织真实。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7、操作过程中在子宫颈阴道粘膜交界下方1cm处的后穹窿正中、与宫颈管平行方向刺入（用7号穿刺针），将有淡红色液体抽出。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8、穿刺错误自动报警，如刺入直肠，将抽出黄色液体，为操作失败。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9、操作者未按操作常规进针，盲目地向两侧刺入，伤及周围器官示穿刺术失败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7</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胸腔穿刺模型（带样品）</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1.成年男性头颈、躯干部模型，体表标志明显，模型反向坐于靠背椅上，双臂平置，形象逼真。                                                                                                            2.采用高分子材料，环保无污染。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3.可进行胸部叩诊，辨别胸水位置。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4.可进行胸腔穿刺，穿刺针进入胸膜腔后有明显的落空感，穿刺成功后可回抽模拟胸水。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5.可根据模拟胸水性状对疾病进行初步诊断（可配比胸腔积液颜色）。                                                                                                              6.通过云平台客户端直接连接模型设备，可通过手机、平板等移动设备连接模型。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7.通过蓝牙搜索连接模型。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8.穿刺针进入肋间隙后穿刺位置错误云平台界面有位置显示及语音报警提示。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9.可在两侧腋前线进行穿刺。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10.可在两侧腋中线进行穿刺。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11.可在两侧腋后线或肩胛下角线进行穿刺。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12.同一穿刺部位可反复进行练习。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13.皮肤、穿刺囊均可更换。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14.在线升级。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15.模型具有示教模块，可显示肋骨、皮肤层、脂肪层、背阔肌、肋间神经血管、肋间肌、壁层胸膜、脏层胸膜、肺及进针位置等。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16.平台服务：提供产品常见问题和解答，帮助用户自行处理简单问题，用户亦可向厂家直接反馈产品问题。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腰穿穿刺模型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841" w:type="pct"/>
            <w:shd w:val="clear" w:color="auto" w:fill="auto"/>
            <w:vAlign w:val="top"/>
          </w:tcPr>
          <w:p>
            <w:pPr>
              <w:keepNext/>
              <w:keepLines w:val="0"/>
              <w:pageBreakBefore w:val="0"/>
              <w:widowControl/>
              <w:numPr>
                <w:ilvl w:val="0"/>
                <w:numId w:val="1"/>
              </w:numPr>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成年人模型，体表标志明显，采用高分子环保材料制成。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2.模拟人体位为正确腰穿，硬膜外麻醉穿刺的弓形卧位。                                                                                                         3.可进行腰椎穿刺，椎管内麻醉，包括：蛛网膜下腔阻滞、硬膜外阻滞、骶管阻滞、蛛网膜下腔与硬膜外腔联合阻滞等。                                                       </w:t>
            </w:r>
          </w:p>
          <w:p>
            <w:pPr>
              <w:keepNext/>
              <w:keepLines w:val="0"/>
              <w:pageBreakBefore w:val="0"/>
              <w:widowControl/>
              <w:numPr>
                <w:ilvl w:val="-1"/>
                <w:numId w:val="0"/>
              </w:numPr>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4.可进行腰椎诊断性穿刺：抽取脑脊液进行各项生化指标、细菌学等检查。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5.可进行腰椎治疗性穿刺：可注入药物、放取适量脑脊液、引流血性脑脊液等治疗。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6.可进行硬膜外腔穿刺。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7.可行阻力消失法、毛细血管负压法来判断穿刺针尖是否到达硬膜外间隙。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8.穿刺针尖到达蛛网膜下腔时可有模拟脑脊液滴出，可进行脑脊液压力的测定。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9.可自备注入不同液体颜色，区分正常或异常脑脊液。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10.可进行Queckenstedt实验，并出现梗阻实验阴性结果。                                                                                                       11.同一穿刺部位可反复进行练习。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12.皮肤和穿刺块均可更换。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动脉穿刺模型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1.高分子材料制作的皮肤给人以真实的感觉。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2.可触及桡动脉搏动。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3.有电动循环系统，模拟动静脉血液循环，可以根据教学情况调整收缩压、舒张压及脉搏频率数值。                                                                     4.界面选择脉搏强度键，模拟整体情况设定动脉搏动的强度。                                                                                                    5.界面选择脉搏心率键，模拟整体情况设定动脉搏动频率。                                                                                                    6.练习时可设简、易、难来练习动脉穿刺操作。                                                                                                                7.动脉穿刺：正确穿刺后有明显的落空感和喷射感，并有模拟血液喷出。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8.可练习动脉血气分析。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9.可反复进行练习。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10.液体更换简便。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tcBorders>
              <w:bottom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391" w:type="pct"/>
            <w:tcBorders>
              <w:bottom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小儿头皮静脉模型</w:t>
            </w:r>
          </w:p>
        </w:tc>
        <w:tc>
          <w:tcPr>
            <w:tcW w:w="455" w:type="pct"/>
            <w:tcBorders>
              <w:bottom w:val="single" w:color="auto" w:sz="4" w:space="0"/>
            </w:tcBorders>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841" w:type="pct"/>
            <w:tcBorders>
              <w:bottom w:val="single" w:color="auto" w:sz="4" w:space="0"/>
            </w:tcBorders>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1.模型为完整6个月的婴儿头部、颈肩部，形态逼真。                                                                                                        2.质地柔软，富有弹性，进针感真实。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3.可进行头部颞侧及颈部的静脉注射、输液练习、采血、输血等多项护理操作，并可真实注入液体。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4.同一部位可以反复穿刺上百次。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5.皮肤与血管可以更换。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5" w:hRule="atLeast"/>
          <w:jc w:val="center"/>
        </w:trPr>
        <w:tc>
          <w:tcPr>
            <w:tcW w:w="3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全功能急救人（全身带报告仪）</w:t>
            </w:r>
          </w:p>
        </w:tc>
        <w:tc>
          <w:tcPr>
            <w:tcW w:w="45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1、模拟人为高分子材料制成，环保无污染；解剖标志明显，可触及两乳头、肋骨、胸骨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1.1模拟人上下身分离简单，采用机械旋转方式即可实现连接，无需使用工具。                                                                                                           1.2具有肺袋锁定口，可通过锁定口锁定肺袋位置，避免肺袋整体移动。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1.3传感器采用无齿光栅传感器，防止异物进入齿条产生计数错误。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1.4胸皮厚度不低于4mm,手感真实。材质为硅胶材质。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1.5产品模拟不同肋骨按压硬度设计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2、模拟人头颈部解剖位置准确，头可左右摆动，水平转动180度，便于清除口腔异物。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3、眼球采用OLED模拟，可见彩色视网膜，黑色瞳孔，透明晶体，任何角度可对光反射；瞳孔对光反射存在，瞳孔随病情变化自动发生变化，死亡状态下，瞳孔散大，对光反射消失。</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4、可触及颈动脉搏动，死亡状态下，颈动脉搏动消失；颈动脉搏动强度具有力反馈，指压力度越大，脉搏跳动越强，可感知是否有检查脉搏。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5、头部装有传感器，开放气道可以自动反馈。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6、心肺复苏，执行标准：《2020美国心脏协会心肺复苏与心血管急救指南》，仰卧位，头可后仰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6.1可行胸外按压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6.2可行仰头举颏法、仰头抬颈法、双手抬颌法三种方法打开气道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6.3可行口对口人工呼吸或者使用简易呼吸器辅助呼吸，采用简易呼吸器进行呼吸时，操作正确可见显示屏吹气波形正确（500-600ml).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7、模拟人兼容Android、Windows、IOS系统。无需下载APP,可进行扫码连接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8、系统分为学生端和教师端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9、教师端可以进行监考，查看管理成绩，设置考试标准，场景的编辑和添加。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9.1成绩单管理：记录考核的所有成绩单，成绩单可按照模式和学员姓名进行检索查看或删除。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10、学生端包括3种模式，训练模式，考核模式，实战模式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11、全程电子监测多项指标：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11.1 按压部分  ：监测按压次数（多按、少按）、按压位置（正确、错误）、按压深度（过大、过小）、按压频率（正确、错误）、按压回弹、按压中断时间显示。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11.2 按压操作波形显示 ：实时显示按压操作波形，通过波形可判断按压深度、按压频率、按压回弹情况、按压中断时间、按压位置等。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11.3吹气部分监测：吹气次数（多吹、少吹）、潮气量（过大、过小）、潮气时间、气体进胃。吹气操作波形显示：实时显示吹气操作波形，通过波形可判断潮气量、潮气时间。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12、依据《2020 年美国心脏协会心肺复苏及心血管急救指南》的操作标准，可进行心肺复苏的训练及考核，操作达标，模拟人复活；操作未达标，模拟人死亡。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12.1训练模式：可添加CPR练习场景，可进行按压深度、按压频率、吹气等练习。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12.1.1按压过大、过小、多按、按压位置、吹气过大、过小、过短、过长、气体进胃有语音提示。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12.1.2可对CPR参数进行设置，操作结束自动弹出成绩单，成绩单可保存。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12.2考核模式：考官可根据竞赛要求自定义设置参数，具有国赛标准一键设置功能，在设定的考核时间内，按照30:2的比例进行考核，设置项包括：竞赛时间、CPR循环次数（用于选择单人或多人操作）、按压和吹气的正确比率（决定急救操作后的复活标准）、潮气量和按压深度的标准范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12.2.1考生信息：操作时间、考生编号、姓名、操作用时等也可记录。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12.2.2操作评价标准：操作限时、潮气量范围、潮气达标率；按压深度范围、按压达标率、操作评价。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12.2.3操作统计：吹气正确率、吹气错误次数、吹气时间、吹气错误分析（过大、过小、多吹、少吹）、按压正确率、按压错误次数、按压错误分析（过大、过小、多按、少按、位置错误、按压未完全回弹）、按压频率错误、按压间隔过大的次数、CPR循环数、循环中断时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12.3实战模式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符合AHA操作流程：环境安全，判断意识，判断呼吸，检查脉搏，紧急呼叫，清除口腔异物，安置体位，抬头检测，清除口腔异物等，其中意识判断和脉搏检查等可以自动反馈。按照最新标准30:2 的比例进行胸外按压及人工呼吸。多项实战考核指标包含：气道开放、按压位置、按压深度、按压回弹、按压中断，吹气量、吹气时间等。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12.3.1考生信息：操作时间、考生编号、姓名、操作用时。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12.3.2操作限时、CPR循环数、潮气量范围、潮气达标率；按压深度范围、按压达标率、操作评价。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12.3.3操作统计：判断环境安全，拍打、呼叫，判断呼吸及颈动脉，呼救，气道开放，清除口腔异物，AED使用、吹气正确率、吹气错误次数、吹气错误分析（过大、过小、多吹、少吹）、按压正确率、按压错误次数、按压错误分析（过大、过小、多按、少按、位置错误、按压未完全回弹）、按压频率错误、按压间隔过大的次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12.3.4全程心电图显示：抢救前显示为濒临死亡的心电图；抢救中进行按压操作时，显示按压心电图，频率与按压频率一致，呼吸监护显示潮气操作图形；抢救成功后显示为窦性心律，呼吸曲线恢复正常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12.3.5 可添加CPR练习场景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实时记录数据，并以曲线和柱状2种形式显示按压深度和潮气量，曲线记录按压和吹气过程，使统计的结果更加直观，并可以记录每一个操作的细节。其中按压过程中若出现按压间隔过大的情况，其间隔时间将记录在曲线上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14、模拟人内置锂电池，和电脑无线连接，工作时间不小于 8 小时。可用于室外、野外突发情况的模拟。模拟人可感应意识判断、脉搏触诊、是否取出口中异物。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15、系统内置不同的 CPR 场景，包括：触电、溺水、心脏骤停、创伤、中毒、意外低温、过敏性休克等，用户也可添加新的场景，或在现有的场景上进行编辑修改。每个场景都可以有独立的操作流程和评分标准。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16、系统支持视频导引，用户可选择在训练或实战前导入相应的视频场景。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17、监考功能：学生考核模式时，教师可用另一台手机或平板连接模拟人进入监考模式，查看学生的操作记录、实时的操作数据，并且控制考核重置。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18、配有心肺复苏操作垫，便于考核，训练。</w:t>
            </w:r>
            <w:r>
              <w:rPr>
                <w:rFonts w:hint="eastAsia" w:ascii="仿宋" w:hAnsi="仿宋" w:eastAsia="仿宋" w:cs="仿宋"/>
                <w:i w:val="0"/>
                <w:iCs w:val="0"/>
                <w:color w:val="000000"/>
                <w:kern w:val="0"/>
                <w:sz w:val="24"/>
                <w:szCs w:val="24"/>
                <w:u w:val="none"/>
                <w:lang w:val="en-US" w:eastAsia="zh-CN" w:bidi="ar"/>
              </w:rPr>
              <w:br w:type="textWrapping"/>
            </w:r>
            <w:r>
              <w:rPr>
                <w:rStyle w:val="46"/>
                <w:rFonts w:hint="eastAsia" w:ascii="仿宋" w:hAnsi="仿宋" w:eastAsia="仿宋" w:cs="仿宋"/>
                <w:sz w:val="24"/>
                <w:szCs w:val="24"/>
                <w:lang w:val="en-US" w:eastAsia="zh-CN" w:bidi="ar"/>
              </w:rPr>
              <w:t>19。配平板报告仪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tcBorders>
              <w:top w:val="single" w:color="auto" w:sz="4" w:space="0"/>
              <w:bottom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12</w:t>
            </w:r>
          </w:p>
        </w:tc>
        <w:tc>
          <w:tcPr>
            <w:tcW w:w="391" w:type="pct"/>
            <w:tcBorders>
              <w:top w:val="single" w:color="auto" w:sz="4" w:space="0"/>
              <w:bottom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骨折模拟人（带样品）</w:t>
            </w:r>
          </w:p>
        </w:tc>
        <w:tc>
          <w:tcPr>
            <w:tcW w:w="455" w:type="pct"/>
            <w:tcBorders>
              <w:top w:val="single" w:color="auto" w:sz="4" w:space="0"/>
              <w:bottom w:val="single" w:color="auto" w:sz="4" w:space="0"/>
            </w:tcBorders>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tcBorders>
              <w:top w:val="single" w:color="auto" w:sz="4" w:space="0"/>
              <w:bottom w:val="single" w:color="auto" w:sz="4" w:space="0"/>
            </w:tcBorders>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1.模型为成年人，体表标志明显，关节灵活，可实现多种操作体位。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2.采用高分子材料制成，环保无污染，肤质仿真度高。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3.模型有上肢前臂和下肢小腿骨折，有成角畸形及骨摩擦音，可教导学生进行不同类型骨折的识别。</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4.可练习骨折的夹板固定、包扎，骨折复位、搬运等操作。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5.可练习常规心肺复苏，头可后仰，实现CPR体位，口对口呼吸，胸廓可有起伏，胸廓富有弹性，可行胸外按压。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6.模型双侧瞳孔分别显示瞳孔散大（右眼）和正常瞳孔（左眼）。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7.可模拟真实的颈动脉搏动。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8.可进行的护理操作：鼻饲、洗胃术、导尿术、灌肠术、造瘘口护理、静脉注射、皮下注射、肌内注射、吸氧、眼部护理、外耳道冲洗等。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9.关节灵活，可实现多种体位。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58" w:hRule="atLeast"/>
          <w:jc w:val="center"/>
        </w:trPr>
        <w:tc>
          <w:tcPr>
            <w:tcW w:w="31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体格检查模型</w:t>
            </w:r>
          </w:p>
        </w:tc>
        <w:tc>
          <w:tcPr>
            <w:tcW w:w="455"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1.模型为成年男性，高分子环保材料制成，肤质仿真度高，解剖标志明显，可触及两乳头及剑突。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2.关节灵活，可实现多种体位：去枕平卧位，屈膝仰卧位、半坐卧位、端坐位、俯卧位、头低足高位、头高足低位、侧卧位、截石位、昏迷体位等10余种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3.床上擦浴及更衣，扶助病人移向床头法、轮椅使用法、平车运送法、担架运送法等移动和搬运病人法，轴线翻身法，肢体约束法、肩部约束法、全身约束法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4.瞳孔示教：一侧散大，一侧正常。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5.可进行乳房护理。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6.鼻饲：托起头部使下颌靠近胸骨柄，可抽出模拟胃液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7.洗胃术：可经口、鼻进行洗胃器洗胃、电动吸引器洗胃、胃管洗胃、洗胃机洗胃，胃容量为500ml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8.导尿：男女互换生殖器，男性抬起阴茎与腹壁成60°角，导尿管顺利插入；操作成功后可导出模拟尿液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9.灌肠： 可实现大量不保留灌肠、小量不保留灌肠、清洁灌肠和保留灌肠等多种灌肠方式。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10.造瘘口护理：可进行造瘘口清洗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11.口腔护理: 有活动义齿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12.气管切开术后护理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心肺音听诊模型有五个心音听诊点,七个肺音听诊点，两个肠鸣音听诊点.通过遥控器可选择64种不同的心音（收缩期吹风样杂音、捻发音、心房纤颤、室性心动过速、期前收缩、舒张早期奔马律等），17种不同的肺音（支气管呼吸音、支气管呼吸音伴大湿啰音、支气管肺泡呼吸音、胸膜摩擦音等）和3种肠鸣音（肠鸣音正常、肠鸣音亢进、肠鸣音减弱）。教师可任意选择不同的心肺音，让学生通过比较做出诊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14.无线遥控选择心肺音，方便教师考核，专用听诊器，方便大课堂教学。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15.有80多种心肺音及多种肠鸣音，便于学员掌握听诊技术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配备彩色液晶显示遥控器, 方便教学操作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17.肌内注射：上臂、臀部和股外侧均有肌内注射块，可注入真实液体，注射模块均可更换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18.右手均有手背静脉网，头静脉、贵要静脉，可进行静脉输液、采血等操作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19.可进行血压测量操作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tcBorders>
              <w:top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14</w:t>
            </w:r>
          </w:p>
        </w:tc>
        <w:tc>
          <w:tcPr>
            <w:tcW w:w="391" w:type="pct"/>
            <w:tcBorders>
              <w:top w:val="single" w:color="auto" w:sz="4" w:space="0"/>
            </w:tcBorders>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多功能气道护理模拟人</w:t>
            </w:r>
          </w:p>
        </w:tc>
        <w:tc>
          <w:tcPr>
            <w:tcW w:w="455" w:type="pct"/>
            <w:tcBorders>
              <w:top w:val="single" w:color="auto" w:sz="4" w:space="0"/>
            </w:tcBorders>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tcBorders>
              <w:top w:val="single" w:color="auto" w:sz="4" w:space="0"/>
            </w:tcBorders>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1.模型为成年男性，高分子环保材料制成，肤质仿真度高，解剖标志明显，可触及两乳头及剑突。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2.关节灵活，可实现多种体位：去枕平卧位，屈膝仰卧位、半坐卧位、端坐位、俯卧位、头低足高位、头高足低位、侧卧位、截石位、昏迷体位等10余种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3.床上擦浴及更衣，扶助病人移向床头法、轮椅使用法、平车运送法、担架运送法等移动和搬运病人法，轴线翻身法，肢体约束法、肩部约束法、全身约束法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4.吸痰术：可用真实负压吸引器吸出模拟痰液，配有不同颜色的痰液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5.瞳孔示教：一侧散大，一侧正常。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6.鼻饲：托起头部使下颌靠近胸骨柄，可抽出模拟胃液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7.洗胃术：可经口、鼻进行洗胃器洗胃、电动吸引器洗胃、胃管洗胃、洗胃机洗胃，胃容量为500ml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8.导尿：男女互换生殖器，男性抬起阴茎与腹壁成60°角，导尿管顺利插入；操作成功后可导出模拟尿液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9.灌肠： 可实现大量不保留灌肠、小量不保留灌肠、清洁灌肠和保留灌肠等多种灌肠方式。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10.造瘘口护理：可进行造瘘口清洗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11.口腔护理: 有活动义齿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12.气管切开术后护理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13.肌内注射：上臂、臀部和股外侧均有肌内注射块，可注入真实液体，注射模块均可更换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14.右手均有手背静脉网，头静脉、贵要静脉，可进行静脉输液、采血等操作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15.其他护理操作：吸氧、雾化吸入疗法、冷热疗法护理、外阴擦洗、外阴湿热敷、尿道冲洗、耳道冲洗及褥疮等多项护理操作。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15</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腹腔穿刺模型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1.由模型及控制软件组成，模型为成年女性躯干部模型，体表标志明显，采用高分子环保材料制成。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2.可进行腹腔穿刺，操作正确可抽出腹腔积液，穿刺部位有：脐与左髂前上棘连线中外1/3交界处，脐与耻骨联合连线中点上方1.0cm、偏左或偏右1.5cm处和脐水平线与腋前或腋中线之延长线的交点。                                                                                                                                                     3.可取仰卧位、侧卧位。                                                                                                                                                     4.用户可通过手机、平板等移动设备下载软件直接控制模型，软件支持IOS、安卓系统。                                                                                                                                   5.通过设备蓝牙搜索连接模型。                                                                                                                                               6.穿刺针进入腹腔落空感明显，可抽出腹腔积液，云平台界面显示穿刺位置是否正确并有语音播报；穿刺位置不正确时，语音提示损伤动脉。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7.可进行腹腔诊断性穿刺与治疗。                                                                                                                                                                                                   8.可进行移动性浊音叩诊。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9.可与卵巢囊肿浊音叩诊鉴别，由于穿刺囊可以放置不同位置可讲解与其它疾病鉴别诊断。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10.用于病人手术区的准备练习：手术区域皮肤消毒、铺无菌布单。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11.可进行导尿操作，导尿操作正确时可导出液体。                                                                                                                                                                   12.同一部位可反复穿刺。                                                                                                                                                                                        13.皮肤、穿刺囊可更换。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14.支持在线升级。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5"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全身成人心肺复苏模型（带样品）</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1、模拟人为高分子材料制成，环保无污染；解剖标志明显，可触及两乳头、肋骨、胸骨及剑突，便于操作定位。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2、模拟人头颈部解剖位置准确，头可左右摆动，水平转动180度，便于清除口腔异物，下颌关节可活动。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3、具有肺袋锁定口，可通过锁定口锁定肺袋位置，避免肺袋整体移动。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4、传感器采用无齿光栅传感器，防止异物进入齿条产生计数错误。模型按压总数自动记录到控制盒，通过功能键查看按压总次数，当按压次数达到100万次，有报警提示，提示需要更换耗材。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5、胸皮厚度不低于4mm,手感真实。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眼球采用OLED模拟，可见彩色视网膜，黑色瞳孔，透明晶体，任何角度可对光反射；瞳孔对光反射存在，瞳孔随病情变化自动发生变化，死亡状态下，瞳孔散大，对光反射消失。系统可感知急救前后有无进行瞳孔检查并在成绩单上有记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7、可触及颈动脉搏动，死亡状态下，颈动脉搏动消失；可感知急救前后有无进行检查脉搏并在成绩单上有记录。有效的胸外按压可触及颈动脉搏动。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8、头部装有传感器，开放气道可以自动反馈；内部安装了传感器可感知拍打和呼叫，拍打呼叫可自动反馈。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全程自动检测按压深度是否合格、按压频率是否在范围内、按压位置是否正确和潮气量是否达标以及气道开放情况等，并已柱状图和波形图两种方式实时显示按压深度和潮气量，动画显示气道开放情况和手部按压胸部位置，已数显和表针两种方式显示按压频率值，多种表现方式同时显示在10寸触摸显示屏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柱状图显示按压深度和潮气量时，采用三段颜色表示按压和通气情况，黄色部分表示过小，绿色表示正确，红色表示过大。波形图显示时有正确区间标线，标线区间有颜色填充。如波峰值落在两条标线区间内表示正确，小于标线区间表示过小，大于标线区间表示过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11、电子显示器显示屏采用高质量10寸触摸组态显示屏，全程触控操作，无需添加任何机械开关和触摸开关，使用寿命长。与壳体一体化设计，吻合度高。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模型人与电子显示器采用有线和无线两种方式进行通讯，且操作过程中可以随时切换，不影响数据传输，并在电子显示器显示屏上有指示。有线连接采用标准网线连接，可以自由更换网线。无线采用2.4G无线技术自动连接，硬件可检测在没有有线连接的情况下自动无线连接，模型和电子显示器一对一连接相互不干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13、电子显示器内置热敏打印机，打印机在电子显示器正面右下方，出纸口朝向工作面，方便撕去打印纸和更换打印纸，可累计打印50Km长的打印纸,打印速率60mm/s,噪音低。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14、电子显示器和模型内部都自带锂电池，电量实时显示在显示屏上，电量过低时提示充电。方便室内、野外等各种场景的使用，可连续使用8小时。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15、自定义心肺复苏操作时间、按压和潮气达标率、除颤能量范围值和除颤次数等。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16、符合AHA操作流程：可判断环境安全，拍打、呼叫，检查呼吸及颈动脉搏动，呼救，气道开放，清除口腔异物等操作，其中模拟人意识判断、脉搏检查、气道开放可与电子盒互动，并在成绩单中有相应的体现。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18、可储存30个操作记录，可自由选择回放其中一个，回放结束可打印回放成绩单。可查看模型按压总次数，提前预判模型易受损部件是否需要更换，方便维护。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19、心肺复苏术：仰卧位，头可后仰，便于清除呼吸道异物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19.1执行标准：《2020美国心脏协会心肺复苏与心血管急救指南》。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19.2可行胸外按压。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19.3可行仰头举颏法、仰头抬颈法、双手抬颌法三种方法打开气道，未开放气道无法进行通气。可行口对口人工呼吸或者使用简易呼吸器辅助呼吸。正确口对口人工呼吸与正确使用简易呼吸器辅助呼吸时，电子显示器吹气显示条均可显示绿色（正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20、电子显示器设有3种操作模式（训练、考核、竞赛），每种模式均可自行设置，灵活方便。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20.1训练模式：可进行按压与吹气练习，可设置训练时间，实时监测按压的各项参数：按压位置、深度、频率，同时检测吹气时间、潮气量，不在标准范围内时有语音提示（过大、过小、气体进胃、按压位置错误、按压未回弹等）。训练结束可打印成绩单，适合学生训练使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20.2考核模式：符合AHA操作流程：判断环境安全，拍打、呼叫，判断呼吸及颈动脉，呼救，气道开放，清除口腔异物等操作。按照最新标准30:2 的比例进行胸外按压及人工呼吸。可设置操作时间、吹气达标率、按压达标率。多项考核指标包含：按压次数统计（正确、错误、多按、少按）、按压深度、按压频率、按压位置、按压回弹、按压中断时间，吹气次数统计（正确、错误、多吹、少吹）、吹气量、吹气时间、气道开放、气体进胃、循环数显示等多项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20.3竞赛模式：按照最新标准30:2 的比例进行胸外按压及人工呼吸，可设置操作时间、吹气达标率、按压达标率，考核指标包含按压次数统计（正确、错误、多按、少按）、按压深度、按压频率、按压位置、按压回弹、按压中断时间，吹气次数统计（正确、错误、多吹、少吹）、吹气量、吹气时间、气道开放、气体进胃、循环数显示等多项指。具有回放功能，能回放多达30组操作过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21、操作结束后可以进行成绩打印，成绩单内容齐全，可显示多项指标。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21.1记录操作模式、考核标准（操作时间、达标率、除颤能量范围、除颤次数）。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21.2统计按压次数（循环内次数、循环外次数、正确、错误、多按、少按、按压未回弹次数）、按压深度（过大、过小）、按压频率（平均频率、频率外次数）、按压位置、按压正确率。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21.3统计吹气次数（循环内次数、循环外次数、正确、错误、多吹、少吹）、吹气量（过大、过小）、吹气时间、吹气正确率。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21.4统计除颤次数（正确、错误）、除颤正确率、除颤结果。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21.5记录判断环境安全、意识检查（拍打、呼叫）、判断呼吸及颈动脉、瞳孔检查、急救呼救，气道开放，清除口腔异物、考核用时和操作循环统计等，给出最后评判结果（成功或失败）。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22、提供3种不同力度的按压弹簧，弹簧具有颜色标识。绿色为30KG,棕色为40KG,红色为50KG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2"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391" w:type="pct"/>
            <w:shd w:val="clear" w:color="auto" w:fill="auto"/>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测量婴儿模型</w:t>
            </w:r>
          </w:p>
        </w:tc>
        <w:tc>
          <w:tcPr>
            <w:tcW w:w="455" w:type="pct"/>
            <w:shd w:val="clear" w:color="auto" w:fill="auto"/>
            <w:noWrap/>
            <w:vAlign w:val="center"/>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center"/>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841" w:type="pct"/>
            <w:shd w:val="clear" w:color="auto" w:fill="auto"/>
            <w:vAlign w:val="top"/>
          </w:tcPr>
          <w:p>
            <w:pPr>
              <w:keepNext/>
              <w:keepLines w:val="0"/>
              <w:pageBreakBefore w:val="0"/>
              <w:widowControl/>
              <w:suppressLineNumbers w:val="0"/>
              <w:kinsoku/>
              <w:wordWrap/>
              <w:overflowPunct/>
              <w:topLinePunct w:val="0"/>
              <w:autoSpaceDE/>
              <w:autoSpaceDN/>
              <w:bidi w:val="0"/>
              <w:adjustRightInd/>
              <w:snapToGrid w:val="0"/>
              <w:spacing w:line="240" w:lineRule="auto"/>
              <w:ind w:firstLine="0" w:firstLineChars="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1.逼真的新生儿模型，采用硅橡胶制作而成，具有极高的逼真度、耐用性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2.可进行精神状态、面色的观察；无缝隙的皮肤符合真实人体，并绝对防水；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3.头颈部是仿生的，具可塑性，托举不到位头会后仰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4.耳部的耳廓是柔软的，可以完全盖住耳道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5.可进行测量身长、体重、测量胸围、腹围、头围等多项护理操作；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6.可进行抚触操作，并进行简单的身体锻炼；</w:t>
            </w:r>
          </w:p>
        </w:tc>
      </w:tr>
    </w:tbl>
    <w:p>
      <w:pPr>
        <w:rPr>
          <w:rFonts w:hint="eastAsia" w:ascii="宋体" w:hAnsi="宋体" w:eastAsia="宋体" w:cs="宋体"/>
          <w:sz w:val="24"/>
          <w:szCs w:val="24"/>
        </w:rPr>
      </w:pP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pStyle w:val="20"/>
        <w:ind w:left="0" w:leftChars="0" w:firstLine="480"/>
        <w:rPr>
          <w:rFonts w:ascii="仿宋" w:hAnsi="仿宋" w:cs="仿宋"/>
        </w:rPr>
      </w:pPr>
      <w:r>
        <w:rPr>
          <w:rFonts w:hint="eastAsia" w:ascii="仿宋" w:hAnsi="仿宋" w:cs="仿宋"/>
          <w:szCs w:val="24"/>
        </w:rPr>
        <w:t>1、交货期：</w:t>
      </w:r>
      <w:r>
        <w:rPr>
          <w:rFonts w:hint="eastAsia" w:ascii="仿宋" w:hAnsi="仿宋" w:cs="仿宋"/>
          <w:szCs w:val="24"/>
          <w:lang w:eastAsia="zh-CN"/>
        </w:rPr>
        <w:t>合同签订后</w:t>
      </w:r>
      <w:r>
        <w:rPr>
          <w:rFonts w:hint="eastAsia" w:ascii="仿宋" w:hAnsi="仿宋" w:cs="仿宋"/>
          <w:szCs w:val="24"/>
          <w:lang w:val="en-US" w:eastAsia="zh-CN"/>
        </w:rPr>
        <w:t>30天</w:t>
      </w:r>
      <w:r>
        <w:rPr>
          <w:rFonts w:hint="eastAsia" w:ascii="仿宋" w:hAnsi="仿宋" w:cs="仿宋"/>
          <w:szCs w:val="24"/>
        </w:rPr>
        <w:t>。</w:t>
      </w:r>
    </w:p>
    <w:p>
      <w:pPr>
        <w:ind w:firstLine="480"/>
        <w:rPr>
          <w:rFonts w:ascii="仿宋" w:hAnsi="仿宋" w:cs="仿宋"/>
        </w:rPr>
      </w:pPr>
      <w:r>
        <w:rPr>
          <w:rFonts w:hint="eastAsia" w:ascii="仿宋" w:hAnsi="仿宋" w:cs="仿宋"/>
        </w:rPr>
        <w:t>2、交货地点：严格按照国家相关要求的运输方式送到用户指定地点。</w:t>
      </w:r>
    </w:p>
    <w:p>
      <w:pPr>
        <w:pStyle w:val="20"/>
        <w:widowControl/>
        <w:ind w:left="0" w:leftChars="0" w:firstLine="480"/>
        <w:rPr>
          <w:rFonts w:hint="default" w:ascii="仿宋" w:hAnsi="仿宋" w:eastAsia="仿宋" w:cs="仿宋"/>
          <w:szCs w:val="24"/>
          <w:lang w:val="en-US" w:eastAsia="zh-CN"/>
        </w:rPr>
      </w:pPr>
      <w:r>
        <w:rPr>
          <w:rFonts w:hint="eastAsia" w:ascii="仿宋" w:hAnsi="仿宋" w:cs="仿宋"/>
          <w:szCs w:val="24"/>
        </w:rPr>
        <w:t>3、</w:t>
      </w:r>
      <w:r>
        <w:rPr>
          <w:rFonts w:hint="eastAsia" w:ascii="仿宋" w:hAnsi="仿宋" w:cs="仿宋"/>
          <w:szCs w:val="24"/>
          <w:lang w:eastAsia="zh-CN"/>
        </w:rPr>
        <w:t>质保期：</w:t>
      </w:r>
      <w:r>
        <w:rPr>
          <w:rFonts w:hint="eastAsia" w:ascii="仿宋" w:hAnsi="仿宋" w:cs="仿宋"/>
          <w:szCs w:val="24"/>
          <w:lang w:val="en-US" w:eastAsia="zh-CN"/>
        </w:rPr>
        <w:t>2年。</w:t>
      </w:r>
    </w:p>
    <w:p>
      <w:pPr>
        <w:pStyle w:val="20"/>
        <w:widowControl/>
        <w:ind w:left="0" w:leftChars="0" w:firstLine="480"/>
        <w:rPr>
          <w:rFonts w:ascii="仿宋" w:hAnsi="仿宋" w:cs="仿宋"/>
          <w:szCs w:val="24"/>
        </w:rPr>
      </w:pPr>
      <w:r>
        <w:rPr>
          <w:rFonts w:hint="eastAsia" w:ascii="仿宋" w:hAnsi="仿宋" w:cs="仿宋"/>
          <w:szCs w:val="24"/>
          <w:lang w:val="en-US" w:eastAsia="zh-CN"/>
        </w:rPr>
        <w:t>4</w:t>
      </w:r>
      <w:r>
        <w:rPr>
          <w:rFonts w:hint="eastAsia" w:ascii="仿宋" w:hAnsi="仿宋" w:cs="仿宋"/>
          <w:szCs w:val="24"/>
        </w:rPr>
        <w:t>、报价需逐条报价，不得有空项。</w:t>
      </w:r>
    </w:p>
    <w:p>
      <w:pPr>
        <w:rPr>
          <w:rFonts w:hint="eastAsia" w:ascii="仿宋" w:hAnsi="仿宋" w:eastAsia="仿宋" w:cs="仿宋"/>
          <w:sz w:val="24"/>
          <w:szCs w:val="24"/>
          <w:lang w:val="en-US" w:eastAsia="zh-CN"/>
        </w:rPr>
      </w:pPr>
      <w:r>
        <w:rPr>
          <w:rFonts w:hint="eastAsia" w:ascii="仿宋" w:hAnsi="仿宋" w:cs="仿宋"/>
          <w:lang w:val="en-US" w:eastAsia="zh-CN"/>
        </w:rPr>
        <w:t>5</w:t>
      </w:r>
      <w:r>
        <w:rPr>
          <w:rFonts w:hint="eastAsia" w:ascii="仿宋" w:hAnsi="仿宋" w:cs="仿宋"/>
        </w:rPr>
        <w:t>、</w:t>
      </w:r>
      <w:r>
        <w:rPr>
          <w:rFonts w:hint="eastAsia" w:ascii="仿宋" w:hAnsi="仿宋" w:eastAsia="仿宋" w:cs="仿宋"/>
          <w:sz w:val="24"/>
          <w:szCs w:val="24"/>
          <w:lang w:val="en-US" w:eastAsia="zh-CN"/>
        </w:rPr>
        <w:t>验收</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货物运抵现场后，卖方应派工程技术人员到达现场，采购人将对货物数量、质量、规格等进行检验。如发现货物和规格或者两者都与</w:t>
      </w:r>
      <w:r>
        <w:rPr>
          <w:rFonts w:hint="eastAsia" w:ascii="仿宋" w:hAnsi="仿宋" w:cs="仿宋"/>
          <w:sz w:val="24"/>
          <w:szCs w:val="24"/>
          <w:lang w:val="en-US" w:eastAsia="zh-CN"/>
        </w:rPr>
        <w:t>磋商文件</w:t>
      </w:r>
      <w:r>
        <w:rPr>
          <w:rFonts w:hint="eastAsia" w:ascii="仿宋" w:hAnsi="仿宋" w:eastAsia="仿宋" w:cs="仿宋"/>
          <w:sz w:val="24"/>
          <w:szCs w:val="24"/>
          <w:lang w:val="en-US" w:eastAsia="zh-CN"/>
        </w:rPr>
        <w:t>、</w:t>
      </w:r>
      <w:r>
        <w:rPr>
          <w:rFonts w:hint="eastAsia" w:ascii="仿宋" w:hAnsi="仿宋" w:cs="仿宋"/>
          <w:sz w:val="24"/>
          <w:szCs w:val="24"/>
          <w:lang w:val="en-US" w:eastAsia="zh-CN"/>
        </w:rPr>
        <w:t>响应文件</w:t>
      </w:r>
      <w:r>
        <w:rPr>
          <w:rFonts w:hint="eastAsia" w:ascii="仿宋" w:hAnsi="仿宋" w:eastAsia="仿宋" w:cs="仿宋"/>
          <w:sz w:val="24"/>
          <w:szCs w:val="24"/>
          <w:lang w:val="en-US" w:eastAsia="zh-CN"/>
        </w:rPr>
        <w:t>、合同不符，采购人有权限根据检验结果要求中标人立即更换或者提出索赔要求。</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 </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sz w:val="24"/>
          <w:szCs w:val="24"/>
          <w:lang w:val="en-US" w:eastAsia="zh-CN"/>
        </w:rPr>
      </w:pPr>
      <w:r>
        <w:rPr>
          <w:rFonts w:hint="eastAsia" w:ascii="仿宋" w:hAnsi="仿宋" w:eastAsia="仿宋" w:cs="仿宋"/>
          <w:sz w:val="24"/>
          <w:szCs w:val="24"/>
          <w:lang w:val="en-US" w:eastAsia="zh-CN"/>
        </w:rPr>
        <w:t>3</w:t>
      </w:r>
      <w:r>
        <w:rPr>
          <w:rFonts w:hint="eastAsia" w:ascii="仿宋" w:hAnsi="仿宋" w:cs="仿宋"/>
          <w:sz w:val="24"/>
          <w:szCs w:val="24"/>
          <w:lang w:val="en-US" w:eastAsia="zh-CN"/>
        </w:rPr>
        <w:t>）</w:t>
      </w:r>
      <w:r>
        <w:rPr>
          <w:rFonts w:hint="eastAsia" w:ascii="仿宋" w:hAnsi="仿宋" w:eastAsia="仿宋" w:cs="仿宋"/>
          <w:sz w:val="24"/>
          <w:szCs w:val="24"/>
          <w:lang w:val="en-US" w:eastAsia="zh-CN"/>
        </w:rPr>
        <w:t>对安装有特殊要求的设备，中标人应在合同签订后 10 个工作日内以书面形式向采购人提出安装场地环境要求，采购人负责安装场地的准备</w:t>
      </w:r>
      <w:r>
        <w:rPr>
          <w:rFonts w:hint="eastAsia"/>
          <w:sz w:val="24"/>
          <w:szCs w:val="24"/>
          <w:lang w:val="en-US" w:eastAsia="zh-CN"/>
        </w:rPr>
        <w:t>。</w:t>
      </w:r>
    </w:p>
    <w:p>
      <w:pPr>
        <w:ind w:firstLine="480"/>
        <w:rPr>
          <w:rFonts w:ascii="仿宋" w:hAnsi="仿宋" w:cs="仿宋"/>
        </w:rPr>
      </w:pPr>
      <w:r>
        <w:rPr>
          <w:rFonts w:hint="eastAsia" w:ascii="仿宋" w:hAnsi="仿宋" w:cs="仿宋"/>
          <w:lang w:val="en-US" w:eastAsia="zh-CN"/>
        </w:rPr>
        <w:t>6</w:t>
      </w:r>
      <w:r>
        <w:rPr>
          <w:rFonts w:hint="eastAsia" w:ascii="仿宋" w:hAnsi="仿宋" w:cs="仿宋"/>
        </w:rPr>
        <w:t>、货物由中标人进行安装、调试，并承担因此发生的一切费用。完毕后，采购人应对货物（试剂）的数量、质量、规格、性能等进行详细而全面的检验。</w:t>
      </w:r>
    </w:p>
    <w:p>
      <w:pPr>
        <w:pStyle w:val="20"/>
        <w:ind w:left="0" w:leftChars="0" w:firstLine="480"/>
        <w:rPr>
          <w:rFonts w:ascii="仿宋" w:hAnsi="仿宋" w:cs="仿宋"/>
        </w:rPr>
      </w:pPr>
      <w:r>
        <w:rPr>
          <w:rFonts w:hint="eastAsia" w:ascii="仿宋" w:hAnsi="仿宋" w:cs="仿宋"/>
          <w:lang w:val="en-US" w:eastAsia="zh-CN"/>
        </w:rPr>
        <w:t>7</w:t>
      </w:r>
      <w:r>
        <w:rPr>
          <w:rFonts w:hint="eastAsia" w:ascii="仿宋" w:hAnsi="仿宋" w:cs="仿宋"/>
        </w:rPr>
        <w:t>、付款方式：</w:t>
      </w:r>
    </w:p>
    <w:p>
      <w:pPr>
        <w:adjustRightInd w:val="0"/>
        <w:snapToGrid w:val="0"/>
        <w:spacing w:line="360" w:lineRule="auto"/>
        <w:ind w:firstLine="0" w:firstLineChars="0"/>
        <w:rPr>
          <w:rFonts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20"/>
        <w:ind w:left="0" w:leftChars="0" w:firstLine="480"/>
        <w:rPr>
          <w:rFonts w:ascii="仿宋" w:hAnsi="仿宋" w:cs="仿宋"/>
        </w:rPr>
      </w:pPr>
      <w:r>
        <w:rPr>
          <w:rFonts w:hint="eastAsia" w:ascii="仿宋" w:hAnsi="仿宋" w:cs="仿宋"/>
          <w:lang w:val="en-US" w:eastAsia="zh-CN"/>
        </w:rPr>
        <w:t>8</w:t>
      </w:r>
      <w:r>
        <w:rPr>
          <w:rFonts w:hint="eastAsia" w:ascii="仿宋" w:hAnsi="仿宋" w:cs="仿宋"/>
        </w:rPr>
        <w:t>、1）履约保证金提交形式：电汇形式、银行汇票、履约保函</w:t>
      </w:r>
    </w:p>
    <w:p>
      <w:pPr>
        <w:ind w:firstLine="480"/>
        <w:rPr>
          <w:rFonts w:ascii="仿宋" w:hAnsi="仿宋" w:cs="仿宋"/>
        </w:rPr>
      </w:pPr>
      <w:r>
        <w:rPr>
          <w:rFonts w:hint="eastAsia" w:ascii="仿宋" w:hAnsi="仿宋" w:cs="仿宋"/>
        </w:rPr>
        <w:t>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0"/>
        <w:ind w:left="0" w:leftChars="0" w:firstLine="480"/>
        <w:rPr>
          <w:rFonts w:ascii="仿宋" w:hAnsi="仿宋" w:cs="仿宋"/>
        </w:rPr>
      </w:pPr>
      <w:r>
        <w:rPr>
          <w:rFonts w:hint="eastAsia" w:ascii="仿宋" w:hAnsi="仿宋" w:cs="仿宋"/>
        </w:rPr>
        <w:t>3）增值税发票开具信息：</w:t>
      </w:r>
    </w:p>
    <w:p>
      <w:pPr>
        <w:pStyle w:val="20"/>
        <w:ind w:left="0" w:leftChars="0" w:firstLine="480"/>
        <w:rPr>
          <w:rFonts w:ascii="仿宋" w:hAnsi="仿宋" w:cs="仿宋"/>
        </w:rPr>
      </w:pPr>
      <w:r>
        <w:rPr>
          <w:rFonts w:hint="eastAsia" w:ascii="仿宋" w:hAnsi="仿宋" w:cs="仿宋"/>
        </w:rPr>
        <w:t>名  称： 山东第一医科大学 </w:t>
      </w:r>
    </w:p>
    <w:p>
      <w:pPr>
        <w:pStyle w:val="20"/>
        <w:ind w:left="0" w:leftChars="0" w:firstLine="480"/>
        <w:rPr>
          <w:rFonts w:ascii="仿宋" w:hAnsi="仿宋" w:cs="仿宋"/>
        </w:rPr>
      </w:pPr>
      <w:r>
        <w:rPr>
          <w:rFonts w:hint="eastAsia" w:ascii="仿宋" w:hAnsi="仿宋" w:cs="仿宋"/>
        </w:rPr>
        <w:t>识别号： 12370000MB2865235G</w:t>
      </w:r>
    </w:p>
    <w:p>
      <w:pPr>
        <w:pStyle w:val="20"/>
        <w:ind w:left="0" w:leftChars="0" w:firstLine="480"/>
        <w:rPr>
          <w:rFonts w:ascii="仿宋" w:hAnsi="仿宋" w:cs="仿宋"/>
        </w:rPr>
      </w:pPr>
      <w:r>
        <w:rPr>
          <w:rFonts w:hint="eastAsia" w:ascii="仿宋" w:hAnsi="仿宋" w:cs="仿宋"/>
        </w:rPr>
        <w:t>地  址： 济南市槐荫区青岛路6699号</w:t>
      </w:r>
    </w:p>
    <w:p>
      <w:pPr>
        <w:pStyle w:val="20"/>
        <w:ind w:left="0" w:leftChars="0" w:firstLine="480"/>
        <w:rPr>
          <w:rFonts w:ascii="仿宋" w:hAnsi="仿宋" w:cs="仿宋"/>
        </w:rPr>
      </w:pPr>
      <w:r>
        <w:rPr>
          <w:rFonts w:hint="eastAsia" w:ascii="仿宋" w:hAnsi="仿宋" w:cs="仿宋"/>
        </w:rPr>
        <w:t>电  话： 0538-6229987</w:t>
      </w:r>
    </w:p>
    <w:p>
      <w:pPr>
        <w:pStyle w:val="20"/>
        <w:ind w:left="0" w:leftChars="0" w:firstLine="480"/>
        <w:rPr>
          <w:rFonts w:ascii="仿宋" w:hAnsi="仿宋" w:cs="仿宋"/>
        </w:rPr>
      </w:pPr>
      <w:r>
        <w:rPr>
          <w:rFonts w:hint="eastAsia" w:ascii="仿宋" w:hAnsi="仿宋" w:cs="仿宋"/>
        </w:rPr>
        <w:t>账户名称：山东第一医科大学</w:t>
      </w:r>
    </w:p>
    <w:p>
      <w:pPr>
        <w:pStyle w:val="20"/>
        <w:ind w:left="0" w:leftChars="0" w:firstLine="480"/>
        <w:rPr>
          <w:rFonts w:ascii="仿宋" w:hAnsi="仿宋" w:cs="仿宋"/>
        </w:rPr>
      </w:pPr>
      <w:r>
        <w:rPr>
          <w:rFonts w:hint="eastAsia" w:ascii="仿宋" w:hAnsi="仿宋" w:cs="仿宋"/>
        </w:rPr>
        <w:t>账  号：15518501040000160</w:t>
      </w:r>
    </w:p>
    <w:p>
      <w:pPr>
        <w:pStyle w:val="20"/>
        <w:ind w:left="0" w:leftChars="0" w:firstLine="480"/>
        <w:rPr>
          <w:rFonts w:ascii="仿宋" w:hAnsi="仿宋" w:cs="仿宋"/>
        </w:rPr>
      </w:pPr>
      <w:r>
        <w:rPr>
          <w:rFonts w:hint="eastAsia" w:ascii="仿宋" w:hAnsi="仿宋" w:cs="仿宋"/>
        </w:rPr>
        <w:t>开户行：中国农业银行股份有限公司泰安旅游开发区分理处</w:t>
      </w:r>
    </w:p>
    <w:p>
      <w:pPr>
        <w:pStyle w:val="20"/>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lang w:val="en-US" w:eastAsia="zh-CN"/>
        </w:rPr>
        <w:t>9</w:t>
      </w:r>
      <w:r>
        <w:rPr>
          <w:rFonts w:hint="eastAsia" w:ascii="仿宋" w:hAnsi="仿宋" w:cs="仿宋"/>
        </w:rPr>
        <w:t>、若有其他优惠请自报。</w:t>
      </w:r>
    </w:p>
    <w:p>
      <w:pPr>
        <w:pStyle w:val="20"/>
        <w:ind w:left="0" w:leftChars="0" w:firstLine="0" w:firstLineChars="0"/>
        <w:rPr>
          <w:rFonts w:ascii="仿宋" w:hAnsi="仿宋" w:cs="仿宋"/>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rFonts w:hint="eastAsia"/>
        <w:lang w:eastAsia="zh-CN"/>
      </w:rPr>
    </w:pPr>
    <w:r>
      <w:rPr>
        <w:rFonts w:hint="eastAsia"/>
        <w:lang w:eastAsia="zh-CN"/>
      </w:rPr>
      <w:t>山东第一医科大学（山东省医学科学院）科教融合医学技术技能教学提升设备购置（二）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0FED1"/>
    <w:multiLevelType w:val="singleLevel"/>
    <w:tmpl w:val="0090FED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ZWY3ZmM4OTUyNDRjNmFmNmMxNzNmNjhjMTYwODU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45C76CB"/>
    <w:rsid w:val="075637DD"/>
    <w:rsid w:val="082E0105"/>
    <w:rsid w:val="09063A89"/>
    <w:rsid w:val="0B536D2E"/>
    <w:rsid w:val="0B740CB6"/>
    <w:rsid w:val="0E753EF5"/>
    <w:rsid w:val="1491260A"/>
    <w:rsid w:val="152627CF"/>
    <w:rsid w:val="15A32D0F"/>
    <w:rsid w:val="216B7C05"/>
    <w:rsid w:val="273B08EE"/>
    <w:rsid w:val="29286B8A"/>
    <w:rsid w:val="2A88340C"/>
    <w:rsid w:val="2E6E4C8A"/>
    <w:rsid w:val="30926B16"/>
    <w:rsid w:val="31537385"/>
    <w:rsid w:val="31832300"/>
    <w:rsid w:val="31EE022A"/>
    <w:rsid w:val="34A75871"/>
    <w:rsid w:val="36301896"/>
    <w:rsid w:val="36E342CE"/>
    <w:rsid w:val="3B0F3982"/>
    <w:rsid w:val="402C195C"/>
    <w:rsid w:val="40752FE6"/>
    <w:rsid w:val="40D73BA8"/>
    <w:rsid w:val="487773F6"/>
    <w:rsid w:val="4B291381"/>
    <w:rsid w:val="4E5C73E5"/>
    <w:rsid w:val="4EB92F0B"/>
    <w:rsid w:val="4F0C0C9A"/>
    <w:rsid w:val="4F934F18"/>
    <w:rsid w:val="4F9B00EC"/>
    <w:rsid w:val="50C12D72"/>
    <w:rsid w:val="51E101BC"/>
    <w:rsid w:val="59611BE3"/>
    <w:rsid w:val="598F04FE"/>
    <w:rsid w:val="5F445E68"/>
    <w:rsid w:val="622B2D11"/>
    <w:rsid w:val="6B8777B9"/>
    <w:rsid w:val="71686BB4"/>
    <w:rsid w:val="75390472"/>
    <w:rsid w:val="75BB6235"/>
    <w:rsid w:val="776865AD"/>
    <w:rsid w:val="78B73A67"/>
    <w:rsid w:val="7C821E87"/>
    <w:rsid w:val="7DF07E6D"/>
    <w:rsid w:val="7E382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2">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4"/>
    <w:semiHidden/>
    <w:unhideWhenUsed/>
    <w:qFormat/>
    <w:uiPriority w:val="99"/>
    <w:pPr>
      <w:spacing w:after="120"/>
    </w:pPr>
    <w:rPr>
      <w:sz w:val="16"/>
      <w:szCs w:val="16"/>
    </w:rPr>
  </w:style>
  <w:style w:type="paragraph" w:styleId="9">
    <w:name w:val="Body Text"/>
    <w:basedOn w:val="1"/>
    <w:qFormat/>
    <w:uiPriority w:val="0"/>
    <w:pPr>
      <w:spacing w:after="120"/>
    </w:pPr>
  </w:style>
  <w:style w:type="paragraph" w:styleId="10">
    <w:name w:val="Body Text Indent"/>
    <w:basedOn w:val="1"/>
    <w:next w:val="1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11">
    <w:name w:val="envelope return"/>
    <w:basedOn w:val="1"/>
    <w:qFormat/>
    <w:uiPriority w:val="0"/>
    <w:pPr>
      <w:snapToGrid w:val="0"/>
      <w:spacing w:line="360" w:lineRule="auto"/>
    </w:pPr>
    <w:rPr>
      <w:rFonts w:ascii="Arial" w:hAnsi="Arial"/>
      <w:sz w:val="24"/>
    </w:rPr>
  </w:style>
  <w:style w:type="paragraph" w:styleId="12">
    <w:name w:val="Plain Text"/>
    <w:basedOn w:val="1"/>
    <w:link w:val="35"/>
    <w:qFormat/>
    <w:uiPriority w:val="0"/>
    <w:rPr>
      <w:rFonts w:ascii="宋体" w:hAnsi="Courier New" w:eastAsia="宋体"/>
      <w:sz w:val="21"/>
    </w:rPr>
  </w:style>
  <w:style w:type="paragraph" w:styleId="13">
    <w:name w:val="Balloon Text"/>
    <w:basedOn w:val="1"/>
    <w:link w:val="44"/>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toc 2"/>
    <w:basedOn w:val="1"/>
    <w:next w:val="1"/>
    <w:unhideWhenUsed/>
    <w:qFormat/>
    <w:uiPriority w:val="39"/>
    <w:pPr>
      <w:ind w:firstLine="400" w:firstLineChars="400"/>
    </w:pPr>
    <w:rPr>
      <w:rFonts w:ascii="Times New Roman" w:hAnsi="Times New Roman"/>
    </w:rPr>
  </w:style>
  <w:style w:type="paragraph" w:styleId="18">
    <w:name w:val="Normal (Web)"/>
    <w:basedOn w:val="1"/>
    <w:qFormat/>
    <w:uiPriority w:val="0"/>
    <w:pPr>
      <w:widowControl/>
      <w:spacing w:before="100" w:beforeAutospacing="1" w:after="100" w:afterAutospacing="1"/>
    </w:pPr>
    <w:rPr>
      <w:rFonts w:ascii="宋体" w:hAnsi="宋体" w:cs="宋体"/>
      <w:kern w:val="0"/>
      <w:szCs w:val="24"/>
    </w:rPr>
  </w:style>
  <w:style w:type="paragraph" w:styleId="19">
    <w:name w:val="annotation subject"/>
    <w:basedOn w:val="7"/>
    <w:next w:val="7"/>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0">
    <w:name w:val="Body Text First Indent 2"/>
    <w:basedOn w:val="10"/>
    <w:next w:val="1"/>
    <w:semiHidden/>
    <w:unhideWhenUsed/>
    <w:qFormat/>
    <w:uiPriority w:val="99"/>
    <w:pPr>
      <w:ind w:firstLine="420"/>
    </w:pPr>
    <w:rPr>
      <w:rFonts w:ascii="Calibri" w:hAnsi="Calibri" w:eastAsia="仿宋" w:cs="Times New Roman"/>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正文文本缩进 字符"/>
    <w:link w:val="10"/>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4"/>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3"/>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2"/>
    <w:qFormat/>
    <w:uiPriority w:val="9"/>
    <w:rPr>
      <w:rFonts w:ascii="Calibri" w:hAnsi="Calibri" w:eastAsia="仿宋" w:cs="Times New Roman"/>
      <w:b/>
      <w:bCs/>
      <w:kern w:val="44"/>
      <w:sz w:val="44"/>
      <w:szCs w:val="44"/>
    </w:rPr>
  </w:style>
  <w:style w:type="character" w:customStyle="1" w:styleId="34">
    <w:name w:val="正文文本 3 字符"/>
    <w:basedOn w:val="22"/>
    <w:link w:val="8"/>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7"/>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19"/>
    <w:semiHidden/>
    <w:qFormat/>
    <w:uiPriority w:val="99"/>
    <w:rPr>
      <w:rFonts w:ascii="Calibri" w:hAnsi="Calibri" w:eastAsia="仿宋" w:cs="Times New Roman"/>
      <w:b/>
      <w:bCs/>
      <w:sz w:val="24"/>
      <w:szCs w:val="20"/>
    </w:rPr>
  </w:style>
  <w:style w:type="character" w:customStyle="1" w:styleId="44">
    <w:name w:val="批注框文本 字符"/>
    <w:basedOn w:val="22"/>
    <w:link w:val="13"/>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24</Pages>
  <Words>16851</Words>
  <Characters>18140</Characters>
  <Lines>69</Lines>
  <Paragraphs>19</Paragraphs>
  <TotalTime>15</TotalTime>
  <ScaleCrop>false</ScaleCrop>
  <LinksUpToDate>false</LinksUpToDate>
  <CharactersWithSpaces>20703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2023-11-10T02:39:49Z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6E8B82BD1E084CB5BBAEA3AB58282818_13</vt:lpwstr>
  </property>
</Properties>
</file>